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26" w:rsidRDefault="00F62206">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A26" w:rsidRDefault="00F62206">
                            <w:r>
                              <w:rPr>
                                <w:noProof/>
                                <w:lang w:eastAsia="en-GB"/>
                              </w:rPr>
                              <w:drawing>
                                <wp:inline distT="0" distB="0" distL="0" distR="0">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BD0A26" w:rsidRDefault="00F62206">
                      <w:r>
                        <w:rPr>
                          <w:noProof/>
                          <w:lang w:eastAsia="en-GB"/>
                        </w:rPr>
                        <w:drawing>
                          <wp:inline distT="0" distB="0" distL="0" distR="0">
                            <wp:extent cx="935355" cy="1254760"/>
                            <wp:effectExtent l="0" t="0" r="0" b="2540"/>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BD0A26" w:rsidRDefault="00BD0A26">
      <w:pPr>
        <w:jc w:val="right"/>
        <w:rPr>
          <w:b/>
          <w:bCs/>
        </w:rPr>
      </w:pPr>
    </w:p>
    <w:p w:rsidR="00BD0A26" w:rsidRDefault="00BD0A26">
      <w:pPr>
        <w:jc w:val="right"/>
      </w:pPr>
    </w:p>
    <w:p w:rsidR="00BD0A26" w:rsidRDefault="00BD0A26">
      <w:pPr>
        <w:pStyle w:val="Heading2"/>
      </w:pPr>
    </w:p>
    <w:p w:rsidR="00BD0A26" w:rsidRDefault="00890110" w:rsidP="001B0966">
      <w:pPr>
        <w:tabs>
          <w:tab w:val="left" w:pos="1843"/>
        </w:tabs>
        <w:rPr>
          <w:b/>
          <w:bCs/>
        </w:rPr>
      </w:pPr>
      <w:r>
        <w:rPr>
          <w:b/>
          <w:bCs/>
        </w:rPr>
        <w:t>To:</w:t>
      </w:r>
      <w:r w:rsidR="001B0966">
        <w:rPr>
          <w:b/>
          <w:bCs/>
        </w:rPr>
        <w:t xml:space="preserve"> </w:t>
      </w:r>
      <w:r w:rsidR="001B0966">
        <w:rPr>
          <w:b/>
          <w:bCs/>
        </w:rPr>
        <w:tab/>
        <w:t>Council</w:t>
      </w:r>
    </w:p>
    <w:p w:rsidR="00BD0A26" w:rsidRDefault="00BD0A26">
      <w:pPr>
        <w:rPr>
          <w:b/>
          <w:bCs/>
        </w:rPr>
      </w:pPr>
    </w:p>
    <w:p w:rsidR="00BD0A26" w:rsidRDefault="001B0966" w:rsidP="001B0966">
      <w:pPr>
        <w:tabs>
          <w:tab w:val="left" w:pos="1843"/>
          <w:tab w:val="left" w:pos="6300"/>
          <w:tab w:val="left" w:pos="7380"/>
        </w:tabs>
        <w:rPr>
          <w:b/>
          <w:bCs/>
        </w:rPr>
      </w:pPr>
      <w:r>
        <w:rPr>
          <w:b/>
          <w:bCs/>
        </w:rPr>
        <w:t xml:space="preserve">Date: </w:t>
      </w:r>
      <w:r>
        <w:rPr>
          <w:b/>
          <w:bCs/>
        </w:rPr>
        <w:tab/>
      </w:r>
      <w:r w:rsidR="00812587">
        <w:rPr>
          <w:b/>
          <w:bCs/>
        </w:rPr>
        <w:t>8</w:t>
      </w:r>
      <w:r w:rsidR="00812587" w:rsidRPr="00812587">
        <w:rPr>
          <w:b/>
          <w:bCs/>
          <w:vertAlign w:val="superscript"/>
        </w:rPr>
        <w:t>th</w:t>
      </w:r>
      <w:r w:rsidR="00812587">
        <w:rPr>
          <w:b/>
          <w:bCs/>
        </w:rPr>
        <w:t xml:space="preserve"> February 2016</w:t>
      </w:r>
    </w:p>
    <w:p w:rsidR="00BD0A26" w:rsidRDefault="00BD0A26">
      <w:pPr>
        <w:jc w:val="right"/>
        <w:rPr>
          <w:b/>
          <w:bCs/>
        </w:rPr>
      </w:pPr>
    </w:p>
    <w:p w:rsidR="00BD0A26" w:rsidRDefault="00890110" w:rsidP="001B0966">
      <w:pPr>
        <w:tabs>
          <w:tab w:val="left" w:pos="1843"/>
        </w:tabs>
        <w:rPr>
          <w:b/>
          <w:bCs/>
        </w:rPr>
      </w:pPr>
      <w:r>
        <w:rPr>
          <w:b/>
          <w:bCs/>
        </w:rPr>
        <w:t>Report of:</w:t>
      </w:r>
      <w:r>
        <w:rPr>
          <w:b/>
          <w:bCs/>
        </w:rPr>
        <w:tab/>
      </w:r>
      <w:r w:rsidR="001B0966">
        <w:rPr>
          <w:b/>
          <w:bCs/>
        </w:rPr>
        <w:t>Head of Law and Governance</w:t>
      </w:r>
    </w:p>
    <w:p w:rsidR="00BD0A26" w:rsidRDefault="00BD0A26">
      <w:pPr>
        <w:tabs>
          <w:tab w:val="left" w:pos="2160"/>
        </w:tabs>
        <w:rPr>
          <w:b/>
          <w:bCs/>
        </w:rPr>
      </w:pPr>
    </w:p>
    <w:p w:rsidR="00BD0A26" w:rsidRDefault="00890110" w:rsidP="00B00EF4">
      <w:pPr>
        <w:tabs>
          <w:tab w:val="left" w:pos="1843"/>
        </w:tabs>
        <w:ind w:left="1843" w:hanging="1843"/>
        <w:rPr>
          <w:b/>
          <w:bCs/>
        </w:rPr>
      </w:pPr>
      <w:r>
        <w:rPr>
          <w:b/>
          <w:bCs/>
        </w:rPr>
        <w:t xml:space="preserve">Title of Report: </w:t>
      </w:r>
      <w:r w:rsidR="001B0966">
        <w:rPr>
          <w:b/>
          <w:bCs/>
        </w:rPr>
        <w:tab/>
      </w:r>
      <w:r w:rsidR="004F2CC3">
        <w:rPr>
          <w:b/>
          <w:bCs/>
        </w:rPr>
        <w:t>Oxford Flood Alleviation Scheme</w:t>
      </w:r>
      <w:r w:rsidR="00812A90">
        <w:rPr>
          <w:b/>
          <w:bCs/>
        </w:rPr>
        <w:t xml:space="preserve"> – Delegation of </w:t>
      </w:r>
      <w:r w:rsidR="005A1713">
        <w:rPr>
          <w:b/>
          <w:bCs/>
        </w:rPr>
        <w:t xml:space="preserve">planning </w:t>
      </w:r>
      <w:r w:rsidR="00812A90">
        <w:rPr>
          <w:b/>
          <w:bCs/>
        </w:rPr>
        <w:t>powers to Oxfordshire County Council</w:t>
      </w:r>
    </w:p>
    <w:p w:rsidR="00BD0A26" w:rsidRDefault="00BD0A26" w:rsidP="001B0966">
      <w:pPr>
        <w:pStyle w:val="Heading1"/>
        <w:rPr>
          <w:u w:val="single"/>
        </w:rPr>
      </w:pPr>
    </w:p>
    <w:p w:rsidR="00BD0A26" w:rsidRPr="001B0966" w:rsidRDefault="00890110" w:rsidP="001B0966">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BD0A26" w:rsidRDefault="00BD0A26">
      <w:pPr>
        <w:pBdr>
          <w:top w:val="single" w:sz="4" w:space="1" w:color="auto"/>
          <w:left w:val="single" w:sz="4" w:space="4" w:color="auto"/>
          <w:bottom w:val="single" w:sz="4" w:space="1" w:color="auto"/>
          <w:right w:val="single" w:sz="4" w:space="4" w:color="auto"/>
        </w:pBdr>
      </w:pPr>
    </w:p>
    <w:p w:rsidR="001B0966" w:rsidRDefault="00890110" w:rsidP="00B55ABA">
      <w:pPr>
        <w:pBdr>
          <w:top w:val="single" w:sz="4" w:space="1" w:color="auto"/>
          <w:left w:val="single" w:sz="4" w:space="4" w:color="auto"/>
          <w:bottom w:val="single" w:sz="4" w:space="1" w:color="auto"/>
          <w:right w:val="single" w:sz="4" w:space="4" w:color="auto"/>
        </w:pBdr>
        <w:tabs>
          <w:tab w:val="left" w:pos="426"/>
        </w:tabs>
      </w:pPr>
      <w:r>
        <w:rPr>
          <w:b/>
          <w:bCs/>
        </w:rPr>
        <w:t>Purpose of report</w:t>
      </w:r>
      <w:r w:rsidR="00E511F5">
        <w:t xml:space="preserve">: </w:t>
      </w:r>
      <w:r w:rsidR="00B00EF4">
        <w:t xml:space="preserve">To </w:t>
      </w:r>
      <w:r w:rsidR="00812A90">
        <w:t xml:space="preserve">outline the </w:t>
      </w:r>
      <w:r w:rsidR="00FC37ED">
        <w:t xml:space="preserve">proposed </w:t>
      </w:r>
      <w:r w:rsidR="00812A90">
        <w:t xml:space="preserve">Oxford Flood Alleviation Scheme </w:t>
      </w:r>
      <w:r w:rsidR="00F92377">
        <w:t xml:space="preserve">(“the Scheme”) </w:t>
      </w:r>
      <w:r w:rsidR="00812A90">
        <w:t xml:space="preserve">and to seek approval for the delegation to the Oxfordshire County Council </w:t>
      </w:r>
      <w:r w:rsidR="00FC37ED">
        <w:t xml:space="preserve">of </w:t>
      </w:r>
      <w:r w:rsidR="00812A90">
        <w:t>any planning responsibilities that would otherwise be exercised by the Oxford City Council</w:t>
      </w:r>
      <w:r w:rsidR="00F92377">
        <w:t xml:space="preserve"> in relation to the Scheme</w:t>
      </w:r>
      <w:r w:rsidR="00812A90">
        <w:t>.</w:t>
      </w:r>
    </w:p>
    <w:p w:rsidR="00BD0A26" w:rsidRDefault="00BD0A26">
      <w:pPr>
        <w:pBdr>
          <w:top w:val="single" w:sz="4" w:space="1" w:color="auto"/>
          <w:left w:val="single" w:sz="4" w:space="4" w:color="auto"/>
          <w:bottom w:val="single" w:sz="4" w:space="1" w:color="auto"/>
          <w:right w:val="single" w:sz="4" w:space="4" w:color="auto"/>
        </w:pBdr>
        <w:rPr>
          <w:b/>
          <w:bCs/>
        </w:rPr>
      </w:pPr>
    </w:p>
    <w:p w:rsidR="00BD0A26" w:rsidRDefault="00890110">
      <w:pPr>
        <w:pBdr>
          <w:top w:val="single" w:sz="4" w:space="1" w:color="auto"/>
          <w:left w:val="single" w:sz="4" w:space="4" w:color="auto"/>
          <w:bottom w:val="single" w:sz="4" w:space="1" w:color="auto"/>
          <w:right w:val="single" w:sz="4" w:space="4" w:color="auto"/>
        </w:pBdr>
        <w:rPr>
          <w:b/>
          <w:bCs/>
        </w:rPr>
      </w:pPr>
      <w:r>
        <w:rPr>
          <w:b/>
          <w:bCs/>
        </w:rPr>
        <w:t xml:space="preserve">Policy Framework: </w:t>
      </w:r>
      <w:r w:rsidR="001B0966" w:rsidRPr="001B0966">
        <w:rPr>
          <w:bCs/>
        </w:rPr>
        <w:t>Not applicable</w:t>
      </w:r>
    </w:p>
    <w:p w:rsidR="00BD0A26" w:rsidRDefault="00BD0A26">
      <w:pPr>
        <w:pStyle w:val="Heading1"/>
        <w:pBdr>
          <w:top w:val="single" w:sz="4" w:space="1" w:color="auto"/>
          <w:left w:val="single" w:sz="4" w:space="4" w:color="auto"/>
          <w:bottom w:val="single" w:sz="4" w:space="1" w:color="auto"/>
          <w:right w:val="single" w:sz="4" w:space="4" w:color="auto"/>
        </w:pBdr>
      </w:pPr>
    </w:p>
    <w:p w:rsidR="00C87ECE" w:rsidRPr="00C33D2B" w:rsidRDefault="001B0966">
      <w:pPr>
        <w:pBdr>
          <w:top w:val="single" w:sz="4" w:space="1" w:color="auto"/>
          <w:left w:val="single" w:sz="4" w:space="4" w:color="auto"/>
          <w:bottom w:val="single" w:sz="4" w:space="1" w:color="auto"/>
          <w:right w:val="single" w:sz="4" w:space="4" w:color="auto"/>
        </w:pBdr>
        <w:tabs>
          <w:tab w:val="left" w:pos="3048"/>
        </w:tabs>
      </w:pPr>
      <w:r>
        <w:rPr>
          <w:b/>
        </w:rPr>
        <w:t xml:space="preserve">Recommendations: </w:t>
      </w:r>
      <w:r w:rsidR="00C87ECE" w:rsidRPr="00C33D2B">
        <w:t>The Council</w:t>
      </w:r>
      <w:r w:rsidR="00EE040F" w:rsidRPr="00C33D2B">
        <w:t xml:space="preserve"> is recommended to</w:t>
      </w:r>
      <w:r w:rsidR="00C87ECE" w:rsidRPr="00C33D2B">
        <w:t>:</w:t>
      </w:r>
    </w:p>
    <w:p w:rsidR="00EE040F" w:rsidRDefault="00EE040F">
      <w:pPr>
        <w:pBdr>
          <w:top w:val="single" w:sz="4" w:space="1" w:color="auto"/>
          <w:left w:val="single" w:sz="4" w:space="4" w:color="auto"/>
          <w:bottom w:val="single" w:sz="4" w:space="1" w:color="auto"/>
          <w:right w:val="single" w:sz="4" w:space="4" w:color="auto"/>
        </w:pBdr>
        <w:tabs>
          <w:tab w:val="left" w:pos="3048"/>
        </w:tabs>
        <w:rPr>
          <w:b/>
        </w:rPr>
      </w:pPr>
    </w:p>
    <w:p w:rsidR="00FA2E92" w:rsidRDefault="001B0966" w:rsidP="00812A90">
      <w:pPr>
        <w:pBdr>
          <w:top w:val="single" w:sz="4" w:space="1" w:color="auto"/>
          <w:left w:val="single" w:sz="4" w:space="4" w:color="auto"/>
          <w:bottom w:val="single" w:sz="4" w:space="1" w:color="auto"/>
          <w:right w:val="single" w:sz="4" w:space="4" w:color="auto"/>
        </w:pBdr>
        <w:tabs>
          <w:tab w:val="left" w:pos="3048"/>
        </w:tabs>
      </w:pPr>
      <w:r w:rsidRPr="001B0966">
        <w:t>(1)</w:t>
      </w:r>
      <w:r w:rsidR="00991E8B">
        <w:t xml:space="preserve"> </w:t>
      </w:r>
      <w:proofErr w:type="gramStart"/>
      <w:r w:rsidR="00F63851">
        <w:t>delegate</w:t>
      </w:r>
      <w:proofErr w:type="gramEnd"/>
      <w:r w:rsidR="00F63851">
        <w:t xml:space="preserve"> the</w:t>
      </w:r>
      <w:r w:rsidR="00DB3FE6">
        <w:t xml:space="preserve"> discharge of the D</w:t>
      </w:r>
      <w:r w:rsidR="00F63851">
        <w:t>istrict</w:t>
      </w:r>
      <w:r w:rsidR="00DB3FE6">
        <w:t xml:space="preserve"> P</w:t>
      </w:r>
      <w:r w:rsidR="0076345A">
        <w:t xml:space="preserve">lanning </w:t>
      </w:r>
      <w:r w:rsidR="00DB3FE6">
        <w:t xml:space="preserve">Authority </w:t>
      </w:r>
      <w:r w:rsidR="0076345A">
        <w:t>functions of the Oxford City Council to the Oxfordshire County Council</w:t>
      </w:r>
      <w:r w:rsidR="0050761D">
        <w:t>,</w:t>
      </w:r>
      <w:r w:rsidR="0076345A">
        <w:t xml:space="preserve"> </w:t>
      </w:r>
      <w:r w:rsidR="00DB3FE6">
        <w:t xml:space="preserve">in connection with the processing and </w:t>
      </w:r>
      <w:r w:rsidR="00DB3FE6">
        <w:rPr>
          <w:rFonts w:cs="Arial"/>
        </w:rPr>
        <w:t xml:space="preserve">determination of the expected planning application for the </w:t>
      </w:r>
      <w:r w:rsidR="00DB3FE6">
        <w:t>Oxford Flood Alleviation Scheme</w:t>
      </w:r>
      <w:r w:rsidR="0050761D">
        <w:t>,</w:t>
      </w:r>
      <w:r w:rsidR="00DB3FE6">
        <w:t xml:space="preserve"> </w:t>
      </w:r>
      <w:r w:rsidR="00616D8F">
        <w:t>under</w:t>
      </w:r>
      <w:r w:rsidR="0080350A">
        <w:t xml:space="preserve"> section 101 of the Local Government Act 1972</w:t>
      </w:r>
      <w:r w:rsidR="00EE48C1">
        <w:t xml:space="preserve">; </w:t>
      </w:r>
    </w:p>
    <w:p w:rsidR="00FA2E92" w:rsidRDefault="00FA2E92" w:rsidP="00812A90">
      <w:pPr>
        <w:pBdr>
          <w:top w:val="single" w:sz="4" w:space="1" w:color="auto"/>
          <w:left w:val="single" w:sz="4" w:space="4" w:color="auto"/>
          <w:bottom w:val="single" w:sz="4" w:space="1" w:color="auto"/>
          <w:right w:val="single" w:sz="4" w:space="4" w:color="auto"/>
        </w:pBdr>
        <w:tabs>
          <w:tab w:val="left" w:pos="3048"/>
        </w:tabs>
      </w:pPr>
    </w:p>
    <w:p w:rsidR="00FA2E92" w:rsidRDefault="00EE48C1" w:rsidP="00812A90">
      <w:pPr>
        <w:pBdr>
          <w:top w:val="single" w:sz="4" w:space="1" w:color="auto"/>
          <w:left w:val="single" w:sz="4" w:space="4" w:color="auto"/>
          <w:bottom w:val="single" w:sz="4" w:space="1" w:color="auto"/>
          <w:right w:val="single" w:sz="4" w:space="4" w:color="auto"/>
        </w:pBdr>
        <w:tabs>
          <w:tab w:val="left" w:pos="3048"/>
        </w:tabs>
      </w:pPr>
      <w:r>
        <w:t xml:space="preserve">(2) </w:t>
      </w:r>
      <w:r w:rsidR="0076345A">
        <w:t>to</w:t>
      </w:r>
      <w:r>
        <w:t xml:space="preserve"> </w:t>
      </w:r>
      <w:r w:rsidR="00812A90">
        <w:t>authorise the Head of</w:t>
      </w:r>
      <w:r>
        <w:t xml:space="preserve"> Planning</w:t>
      </w:r>
      <w:r w:rsidR="00812A90">
        <w:t xml:space="preserve"> and Regulatory Services</w:t>
      </w:r>
      <w:r w:rsidR="00F62540">
        <w:t>, in consultation with the Head of Law of Governance,</w:t>
      </w:r>
      <w:r>
        <w:t xml:space="preserve"> to </w:t>
      </w:r>
      <w:r w:rsidR="00F62540">
        <w:t xml:space="preserve">negotiate and agree a Memorandum of Understanding with the Oxfordshire County Council to determine the </w:t>
      </w:r>
      <w:r w:rsidR="007A1E3E">
        <w:t>operational arrangements</w:t>
      </w:r>
      <w:r w:rsidR="00F62540">
        <w:t xml:space="preserve"> of the delegation of the Oxford City Council’s planning functions</w:t>
      </w:r>
      <w:r w:rsidR="00665396">
        <w:t xml:space="preserve"> in relation to the S</w:t>
      </w:r>
      <w:r w:rsidR="00F62540">
        <w:t>cheme.</w:t>
      </w:r>
    </w:p>
    <w:p w:rsidR="00FA2E92" w:rsidRDefault="00FA2E92" w:rsidP="00812A90">
      <w:pPr>
        <w:pBdr>
          <w:top w:val="single" w:sz="4" w:space="1" w:color="auto"/>
          <w:left w:val="single" w:sz="4" w:space="4" w:color="auto"/>
          <w:bottom w:val="single" w:sz="4" w:space="1" w:color="auto"/>
          <w:right w:val="single" w:sz="4" w:space="4" w:color="auto"/>
        </w:pBdr>
        <w:tabs>
          <w:tab w:val="left" w:pos="3048"/>
        </w:tabs>
      </w:pPr>
    </w:p>
    <w:p w:rsidR="00AF7E0D" w:rsidRDefault="007A1E3E" w:rsidP="00812A90">
      <w:pPr>
        <w:pBdr>
          <w:top w:val="single" w:sz="4" w:space="1" w:color="auto"/>
          <w:left w:val="single" w:sz="4" w:space="4" w:color="auto"/>
          <w:bottom w:val="single" w:sz="4" w:space="1" w:color="auto"/>
          <w:right w:val="single" w:sz="4" w:space="4" w:color="auto"/>
        </w:pBdr>
        <w:tabs>
          <w:tab w:val="left" w:pos="3048"/>
        </w:tabs>
      </w:pPr>
      <w:r>
        <w:t xml:space="preserve">(3) </w:t>
      </w:r>
      <w:proofErr w:type="gramStart"/>
      <w:r>
        <w:t>agree</w:t>
      </w:r>
      <w:proofErr w:type="gramEnd"/>
      <w:r>
        <w:t xml:space="preserve"> that </w:t>
      </w:r>
      <w:r w:rsidR="00AE6566">
        <w:t>a long stop date be placed on the delegation such that the delegation will be re</w:t>
      </w:r>
      <w:r w:rsidR="003C138B">
        <w:t>voked if any</w:t>
      </w:r>
      <w:r w:rsidR="00AE6566">
        <w:t xml:space="preserve"> Scheme application is not determined by the 18</w:t>
      </w:r>
      <w:r w:rsidR="00AE6566" w:rsidRPr="00E82AEC">
        <w:rPr>
          <w:vertAlign w:val="superscript"/>
        </w:rPr>
        <w:t>th</w:t>
      </w:r>
      <w:r w:rsidR="00AE6566">
        <w:t xml:space="preserve"> February 2019.</w:t>
      </w:r>
    </w:p>
    <w:p w:rsidR="00F62540" w:rsidRPr="001B0966" w:rsidRDefault="00F62540" w:rsidP="00812A90">
      <w:pPr>
        <w:pBdr>
          <w:top w:val="single" w:sz="4" w:space="1" w:color="auto"/>
          <w:left w:val="single" w:sz="4" w:space="4" w:color="auto"/>
          <w:bottom w:val="single" w:sz="4" w:space="1" w:color="auto"/>
          <w:right w:val="single" w:sz="4" w:space="4" w:color="auto"/>
        </w:pBdr>
        <w:tabs>
          <w:tab w:val="left" w:pos="3048"/>
        </w:tabs>
      </w:pPr>
    </w:p>
    <w:p w:rsidR="00F62540" w:rsidRDefault="00F62540" w:rsidP="00E511F5"/>
    <w:p w:rsidR="009109D8" w:rsidRDefault="009109D8" w:rsidP="00DC7662">
      <w:pPr>
        <w:pStyle w:val="ListParagraph"/>
        <w:ind w:left="0"/>
        <w:rPr>
          <w:b/>
        </w:rPr>
      </w:pPr>
      <w:r>
        <w:rPr>
          <w:b/>
        </w:rPr>
        <w:t>Introduction</w:t>
      </w:r>
    </w:p>
    <w:p w:rsidR="00FA2E92" w:rsidRPr="00DC7662" w:rsidRDefault="00FA2E92" w:rsidP="00DC7662">
      <w:pPr>
        <w:pStyle w:val="ListParagraph"/>
        <w:ind w:left="0"/>
        <w:rPr>
          <w:b/>
        </w:rPr>
      </w:pPr>
    </w:p>
    <w:p w:rsidR="00665396" w:rsidRPr="00DB3FE6" w:rsidRDefault="00665396" w:rsidP="0050761D">
      <w:pPr>
        <w:pStyle w:val="BodyText"/>
        <w:numPr>
          <w:ilvl w:val="0"/>
          <w:numId w:val="8"/>
        </w:numPr>
        <w:ind w:left="426" w:hanging="426"/>
        <w:rPr>
          <w:sz w:val="24"/>
        </w:rPr>
      </w:pPr>
      <w:r w:rsidRPr="00DB3FE6">
        <w:rPr>
          <w:sz w:val="24"/>
        </w:rPr>
        <w:t>There are 4500 properties at a 1% or greater annual risk of flooding in Oxford.  This figure will rise to over 6000 properties by 2080 because of the effects of climate change. In addition major roads, railway lines, schools and businesses are also at risk.</w:t>
      </w:r>
    </w:p>
    <w:p w:rsidR="00665396" w:rsidRPr="00DB3FE6" w:rsidRDefault="00665396" w:rsidP="00665396">
      <w:pPr>
        <w:pStyle w:val="BodyText"/>
        <w:rPr>
          <w:sz w:val="24"/>
        </w:rPr>
      </w:pPr>
    </w:p>
    <w:p w:rsidR="00665396" w:rsidRPr="00DB3FE6" w:rsidRDefault="00665396" w:rsidP="0050761D">
      <w:pPr>
        <w:pStyle w:val="BodyText"/>
        <w:numPr>
          <w:ilvl w:val="0"/>
          <w:numId w:val="8"/>
        </w:numPr>
        <w:ind w:left="426" w:hanging="426"/>
        <w:rPr>
          <w:sz w:val="24"/>
        </w:rPr>
      </w:pPr>
      <w:r w:rsidRPr="00DB3FE6">
        <w:rPr>
          <w:sz w:val="24"/>
        </w:rPr>
        <w:t xml:space="preserve">The Environment Agency is working with a range of partners including Oxford City Council, the Vale of White Horse District Council, the Oxfordshire County Council, Thames Water and the Oxfordshire Flood </w:t>
      </w:r>
      <w:r w:rsidRPr="00DB3FE6">
        <w:rPr>
          <w:sz w:val="24"/>
        </w:rPr>
        <w:lastRenderedPageBreak/>
        <w:t xml:space="preserve">Alliance, to develop a scheme, the Oxford Flood Alleviation Scheme to reduce flood risk in Oxford. This will involve improving the capacity in Oxford’s western flood plain, between the </w:t>
      </w:r>
      <w:proofErr w:type="spellStart"/>
      <w:r w:rsidRPr="00DB3FE6">
        <w:rPr>
          <w:sz w:val="24"/>
        </w:rPr>
        <w:t>Botley</w:t>
      </w:r>
      <w:proofErr w:type="spellEnd"/>
      <w:r w:rsidRPr="00DB3FE6">
        <w:rPr>
          <w:sz w:val="24"/>
        </w:rPr>
        <w:t xml:space="preserve"> Road and </w:t>
      </w:r>
      <w:proofErr w:type="spellStart"/>
      <w:r w:rsidRPr="00DB3FE6">
        <w:rPr>
          <w:sz w:val="24"/>
        </w:rPr>
        <w:t>Sandford</w:t>
      </w:r>
      <w:proofErr w:type="spellEnd"/>
      <w:r w:rsidRPr="00DB3FE6">
        <w:rPr>
          <w:sz w:val="24"/>
        </w:rPr>
        <w:t>-on-Thames, by constructing a flood relief channel.</w:t>
      </w:r>
    </w:p>
    <w:p w:rsidR="00DB3FE6" w:rsidRDefault="00DB3FE6" w:rsidP="00665396">
      <w:pPr>
        <w:pStyle w:val="BodyText"/>
        <w:rPr>
          <w:szCs w:val="22"/>
        </w:rPr>
      </w:pPr>
    </w:p>
    <w:p w:rsidR="00DB3FE6" w:rsidRPr="0050761D" w:rsidRDefault="00DB3FE6" w:rsidP="0050761D">
      <w:pPr>
        <w:pStyle w:val="ListParagraph"/>
        <w:numPr>
          <w:ilvl w:val="0"/>
          <w:numId w:val="8"/>
        </w:numPr>
        <w:ind w:left="426" w:hanging="426"/>
        <w:rPr>
          <w:rFonts w:cs="Arial"/>
        </w:rPr>
      </w:pPr>
      <w:r w:rsidRPr="0050761D">
        <w:rPr>
          <w:szCs w:val="22"/>
        </w:rPr>
        <w:t xml:space="preserve">It is proposed that </w:t>
      </w:r>
      <w:r w:rsidRPr="0050761D">
        <w:rPr>
          <w:rFonts w:cs="Arial"/>
        </w:rPr>
        <w:t xml:space="preserve">instead of multiple planning applications having to be submitted to and determined by a number of authorities </w:t>
      </w:r>
      <w:r w:rsidR="007A1E3E">
        <w:rPr>
          <w:rFonts w:cs="Arial"/>
        </w:rPr>
        <w:t xml:space="preserve">that </w:t>
      </w:r>
      <w:r w:rsidR="00FA2E92">
        <w:rPr>
          <w:rFonts w:cs="Arial"/>
        </w:rPr>
        <w:t xml:space="preserve">a single application </w:t>
      </w:r>
      <w:r w:rsidRPr="0050761D">
        <w:rPr>
          <w:rFonts w:cs="Arial"/>
        </w:rPr>
        <w:t xml:space="preserve">be submitted to and determined by the Oxfordshire County Council. As matters currently stand, unless the Scheme in substance amounts to mineral extraction, it would have </w:t>
      </w:r>
      <w:r w:rsidR="00973A95" w:rsidRPr="0050761D">
        <w:rPr>
          <w:rFonts w:cs="Arial"/>
        </w:rPr>
        <w:t xml:space="preserve">to </w:t>
      </w:r>
      <w:r w:rsidRPr="0050761D">
        <w:rPr>
          <w:rFonts w:cs="Arial"/>
        </w:rPr>
        <w:t xml:space="preserve">be dealt </w:t>
      </w:r>
      <w:r w:rsidR="00973A95" w:rsidRPr="0050761D">
        <w:rPr>
          <w:rFonts w:cs="Arial"/>
        </w:rPr>
        <w:t xml:space="preserve">with </w:t>
      </w:r>
      <w:r w:rsidRPr="0050761D">
        <w:rPr>
          <w:rFonts w:cs="Arial"/>
        </w:rPr>
        <w:t xml:space="preserve">by each district authority that </w:t>
      </w:r>
      <w:r w:rsidR="00973A95" w:rsidRPr="0050761D">
        <w:rPr>
          <w:rFonts w:cs="Arial"/>
        </w:rPr>
        <w:t xml:space="preserve">the new flood channel </w:t>
      </w:r>
      <w:r w:rsidRPr="0050761D">
        <w:rPr>
          <w:rFonts w:cs="Arial"/>
        </w:rPr>
        <w:t>passes through.</w:t>
      </w:r>
    </w:p>
    <w:p w:rsidR="005A1713" w:rsidRDefault="005A1713" w:rsidP="00DB3FE6">
      <w:pPr>
        <w:rPr>
          <w:rFonts w:cs="Arial"/>
          <w:b/>
        </w:rPr>
      </w:pPr>
    </w:p>
    <w:p w:rsidR="00973A95" w:rsidRPr="005A1713" w:rsidRDefault="005A1713" w:rsidP="00DB3FE6">
      <w:pPr>
        <w:rPr>
          <w:rFonts w:cs="Arial"/>
          <w:b/>
        </w:rPr>
      </w:pPr>
      <w:r w:rsidRPr="005A1713">
        <w:rPr>
          <w:rFonts w:cs="Arial"/>
          <w:b/>
        </w:rPr>
        <w:t>The Oxford Flood Alleviation Scheme</w:t>
      </w:r>
    </w:p>
    <w:p w:rsidR="00DB3FE6" w:rsidRDefault="00DB3FE6" w:rsidP="00665396">
      <w:pPr>
        <w:pStyle w:val="BodyText"/>
        <w:rPr>
          <w:szCs w:val="22"/>
        </w:rPr>
      </w:pPr>
    </w:p>
    <w:p w:rsidR="00665396" w:rsidRPr="00DB3FE6" w:rsidRDefault="00665396" w:rsidP="0050761D">
      <w:pPr>
        <w:pStyle w:val="BodyText"/>
        <w:numPr>
          <w:ilvl w:val="0"/>
          <w:numId w:val="8"/>
        </w:numPr>
        <w:ind w:left="426" w:hanging="426"/>
        <w:rPr>
          <w:sz w:val="24"/>
        </w:rPr>
      </w:pPr>
      <w:r w:rsidRPr="00DB3FE6">
        <w:rPr>
          <w:sz w:val="24"/>
        </w:rPr>
        <w:t>This project has arisen out of very significant local concern. The Environment Agency’s existing flood risk management operatio</w:t>
      </w:r>
      <w:r w:rsidR="00415D6B">
        <w:rPr>
          <w:sz w:val="24"/>
        </w:rPr>
        <w:t>ns across Oxford, which include</w:t>
      </w:r>
      <w:r w:rsidRPr="00DB3FE6">
        <w:rPr>
          <w:sz w:val="24"/>
        </w:rPr>
        <w:t xml:space="preserve"> operating weirs </w:t>
      </w:r>
      <w:r w:rsidR="00415D6B">
        <w:rPr>
          <w:sz w:val="24"/>
        </w:rPr>
        <w:t>and channel maintenance, reduce</w:t>
      </w:r>
      <w:r w:rsidRPr="00DB3FE6">
        <w:rPr>
          <w:sz w:val="24"/>
        </w:rPr>
        <w:t xml:space="preserve"> the number of properties at a 1% or greater annual risk to 1800. The objectives of the project are to further reduce risk of flooding in Oxford.</w:t>
      </w:r>
    </w:p>
    <w:p w:rsidR="00665396" w:rsidRPr="00DB3FE6" w:rsidRDefault="00665396" w:rsidP="0050761D">
      <w:pPr>
        <w:pStyle w:val="BodyText"/>
        <w:ind w:left="426" w:hanging="426"/>
        <w:rPr>
          <w:sz w:val="24"/>
        </w:rPr>
      </w:pPr>
    </w:p>
    <w:p w:rsidR="00665396" w:rsidRPr="00DB3FE6" w:rsidRDefault="00665396" w:rsidP="0050761D">
      <w:pPr>
        <w:pStyle w:val="BodyText"/>
        <w:numPr>
          <w:ilvl w:val="0"/>
          <w:numId w:val="8"/>
        </w:numPr>
        <w:ind w:left="426" w:hanging="426"/>
        <w:rPr>
          <w:sz w:val="24"/>
        </w:rPr>
      </w:pPr>
      <w:r w:rsidRPr="00DB3FE6">
        <w:rPr>
          <w:sz w:val="24"/>
        </w:rPr>
        <w:t xml:space="preserve">If approved a </w:t>
      </w:r>
      <w:r w:rsidR="00415D6B">
        <w:rPr>
          <w:sz w:val="24"/>
        </w:rPr>
        <w:t xml:space="preserve">new </w:t>
      </w:r>
      <w:r w:rsidRPr="00DB3FE6">
        <w:rPr>
          <w:sz w:val="24"/>
        </w:rPr>
        <w:t>channel would flow through the western floodplain of Ox</w:t>
      </w:r>
      <w:r w:rsidR="00415D6B">
        <w:rPr>
          <w:sz w:val="24"/>
        </w:rPr>
        <w:t>ford in two sections between</w:t>
      </w:r>
      <w:r w:rsidRPr="00DB3FE6">
        <w:rPr>
          <w:sz w:val="24"/>
        </w:rPr>
        <w:t xml:space="preserve"> </w:t>
      </w:r>
      <w:proofErr w:type="spellStart"/>
      <w:r w:rsidRPr="00DB3FE6">
        <w:rPr>
          <w:sz w:val="24"/>
        </w:rPr>
        <w:t>Botley</w:t>
      </w:r>
      <w:proofErr w:type="spellEnd"/>
      <w:r w:rsidRPr="00DB3FE6">
        <w:rPr>
          <w:sz w:val="24"/>
        </w:rPr>
        <w:t xml:space="preserve"> Road and Redbridge and between Kennington and </w:t>
      </w:r>
      <w:proofErr w:type="spellStart"/>
      <w:r w:rsidRPr="00DB3FE6">
        <w:rPr>
          <w:sz w:val="24"/>
        </w:rPr>
        <w:t>Sandford</w:t>
      </w:r>
      <w:proofErr w:type="spellEnd"/>
      <w:r w:rsidRPr="00DB3FE6">
        <w:rPr>
          <w:sz w:val="24"/>
        </w:rPr>
        <w:t>-on-Thames. Wherever possible it is likely to consist of a two stage channel formed from a combination of widened existing watercourses and new sections of channel.</w:t>
      </w:r>
    </w:p>
    <w:p w:rsidR="00665396" w:rsidRPr="00DB3FE6" w:rsidRDefault="00665396" w:rsidP="00665396">
      <w:pPr>
        <w:pStyle w:val="BodyText"/>
        <w:rPr>
          <w:sz w:val="24"/>
        </w:rPr>
      </w:pPr>
    </w:p>
    <w:p w:rsidR="00665396" w:rsidRPr="00DB3FE6" w:rsidRDefault="0050761D" w:rsidP="0050761D">
      <w:pPr>
        <w:pStyle w:val="BodyText"/>
        <w:ind w:left="426" w:hanging="426"/>
        <w:rPr>
          <w:color w:val="000000"/>
          <w:sz w:val="24"/>
        </w:rPr>
      </w:pPr>
      <w:r>
        <w:rPr>
          <w:sz w:val="24"/>
        </w:rPr>
        <w:t>6.</w:t>
      </w:r>
      <w:r>
        <w:rPr>
          <w:sz w:val="24"/>
        </w:rPr>
        <w:tab/>
      </w:r>
      <w:r w:rsidR="00665396" w:rsidRPr="00DB3FE6">
        <w:rPr>
          <w:sz w:val="24"/>
        </w:rPr>
        <w:t xml:space="preserve">The new channel would provide additional capacity and would work with the natural processes of the local watercourses and the flood plain to help manage the movement of water through Oxford. During a flood this would reduce the risk of water entering homes, businesses and disrupting transport links. </w:t>
      </w:r>
    </w:p>
    <w:p w:rsidR="00665396" w:rsidRPr="00DB3FE6" w:rsidRDefault="00665396" w:rsidP="0050761D">
      <w:pPr>
        <w:pStyle w:val="BodyText"/>
        <w:ind w:left="426" w:hanging="426"/>
        <w:rPr>
          <w:sz w:val="24"/>
        </w:rPr>
      </w:pPr>
    </w:p>
    <w:p w:rsidR="00665396" w:rsidRPr="00DB3FE6" w:rsidRDefault="00665396" w:rsidP="0050761D">
      <w:pPr>
        <w:pStyle w:val="BodyText"/>
        <w:numPr>
          <w:ilvl w:val="0"/>
          <w:numId w:val="9"/>
        </w:numPr>
        <w:ind w:left="426" w:hanging="426"/>
        <w:rPr>
          <w:sz w:val="24"/>
        </w:rPr>
      </w:pPr>
      <w:r w:rsidRPr="00DB3FE6">
        <w:rPr>
          <w:sz w:val="24"/>
        </w:rPr>
        <w:t>Although a channel would reduce flood risk it cannot remove it entirely. In extreme weather the western flood plain would still be utilised as the channel would fill up and be overtopped, with flood water spilling into the surrounding flood plain.</w:t>
      </w:r>
    </w:p>
    <w:p w:rsidR="00665396" w:rsidRDefault="00665396" w:rsidP="0050761D">
      <w:pPr>
        <w:pStyle w:val="BodyText"/>
        <w:ind w:left="426" w:hanging="426"/>
        <w:rPr>
          <w:sz w:val="24"/>
        </w:rPr>
      </w:pPr>
    </w:p>
    <w:p w:rsidR="00415D6B" w:rsidRDefault="00415D6B" w:rsidP="0050761D">
      <w:pPr>
        <w:pStyle w:val="BodyText"/>
        <w:numPr>
          <w:ilvl w:val="0"/>
          <w:numId w:val="9"/>
        </w:numPr>
        <w:ind w:left="426" w:hanging="426"/>
        <w:rPr>
          <w:sz w:val="24"/>
        </w:rPr>
      </w:pPr>
      <w:r>
        <w:rPr>
          <w:color w:val="000000"/>
          <w:sz w:val="24"/>
        </w:rPr>
        <w:t>The Scheme</w:t>
      </w:r>
      <w:r w:rsidRPr="00DB3FE6">
        <w:rPr>
          <w:color w:val="000000"/>
          <w:sz w:val="24"/>
        </w:rPr>
        <w:t xml:space="preserve"> does not seek to address foul and sewerage flooding issues.</w:t>
      </w:r>
    </w:p>
    <w:p w:rsidR="00415D6B" w:rsidRPr="00DB3FE6" w:rsidRDefault="00415D6B" w:rsidP="0050761D">
      <w:pPr>
        <w:pStyle w:val="BodyText"/>
        <w:ind w:left="426" w:hanging="426"/>
        <w:rPr>
          <w:sz w:val="24"/>
        </w:rPr>
      </w:pPr>
    </w:p>
    <w:p w:rsidR="00665396" w:rsidRPr="00DB3FE6" w:rsidRDefault="00665396" w:rsidP="0050761D">
      <w:pPr>
        <w:pStyle w:val="BodyText"/>
        <w:numPr>
          <w:ilvl w:val="0"/>
          <w:numId w:val="9"/>
        </w:numPr>
        <w:ind w:left="426" w:hanging="426"/>
        <w:rPr>
          <w:sz w:val="24"/>
        </w:rPr>
      </w:pPr>
      <w:r w:rsidRPr="00DB3FE6">
        <w:rPr>
          <w:sz w:val="24"/>
        </w:rPr>
        <w:t>The appraisal, design and construction of a flood relief channel would cost a</w:t>
      </w:r>
      <w:r w:rsidR="00415D6B">
        <w:rPr>
          <w:sz w:val="24"/>
        </w:rPr>
        <w:t>pproximately £120 million. The S</w:t>
      </w:r>
      <w:r w:rsidRPr="00DB3FE6">
        <w:rPr>
          <w:sz w:val="24"/>
        </w:rPr>
        <w:t>cheme has been allocated £42 million in Flood Risk Management Grant in Aid funding from the government. The government will decide on the le</w:t>
      </w:r>
      <w:r w:rsidR="00415D6B">
        <w:rPr>
          <w:sz w:val="24"/>
        </w:rPr>
        <w:t>vel of further funding for the Scheme as the design is developed.</w:t>
      </w:r>
      <w:r w:rsidRPr="00DB3FE6">
        <w:rPr>
          <w:sz w:val="24"/>
        </w:rPr>
        <w:t xml:space="preserve"> </w:t>
      </w:r>
    </w:p>
    <w:p w:rsidR="00665396" w:rsidRDefault="00665396" w:rsidP="00665396">
      <w:pPr>
        <w:pStyle w:val="BodyText"/>
        <w:rPr>
          <w:sz w:val="24"/>
        </w:rPr>
      </w:pPr>
    </w:p>
    <w:p w:rsidR="00FA2E92" w:rsidRDefault="00FA2E92" w:rsidP="00665396">
      <w:pPr>
        <w:pStyle w:val="BodyText"/>
        <w:rPr>
          <w:sz w:val="24"/>
        </w:rPr>
      </w:pPr>
    </w:p>
    <w:p w:rsidR="00FA2E92" w:rsidRDefault="00FA2E92" w:rsidP="00665396">
      <w:pPr>
        <w:pStyle w:val="BodyText"/>
        <w:rPr>
          <w:sz w:val="24"/>
        </w:rPr>
      </w:pPr>
    </w:p>
    <w:p w:rsidR="00FA2E92" w:rsidRPr="00DB3FE6" w:rsidRDefault="00FA2E92" w:rsidP="00665396">
      <w:pPr>
        <w:pStyle w:val="BodyText"/>
        <w:rPr>
          <w:sz w:val="24"/>
        </w:rPr>
      </w:pPr>
      <w:bookmarkStart w:id="0" w:name="_GoBack"/>
      <w:bookmarkEnd w:id="0"/>
    </w:p>
    <w:p w:rsidR="005A1713" w:rsidRDefault="005A1713" w:rsidP="00D41072"/>
    <w:p w:rsidR="005A1713" w:rsidRPr="00973A95" w:rsidRDefault="005A1713" w:rsidP="005A1713">
      <w:pPr>
        <w:rPr>
          <w:rFonts w:cs="Arial"/>
          <w:b/>
        </w:rPr>
      </w:pPr>
      <w:r w:rsidRPr="00973A95">
        <w:rPr>
          <w:rFonts w:cs="Arial"/>
          <w:b/>
        </w:rPr>
        <w:t>Delegation of powers</w:t>
      </w:r>
    </w:p>
    <w:p w:rsidR="005A1713" w:rsidRDefault="005A1713" w:rsidP="005A1713">
      <w:pPr>
        <w:rPr>
          <w:rFonts w:cs="Arial"/>
        </w:rPr>
      </w:pPr>
    </w:p>
    <w:p w:rsidR="005A1713" w:rsidRPr="00C02718" w:rsidRDefault="005A1713" w:rsidP="00C02718">
      <w:pPr>
        <w:pStyle w:val="ListParagraph"/>
        <w:numPr>
          <w:ilvl w:val="0"/>
          <w:numId w:val="9"/>
        </w:numPr>
        <w:autoSpaceDE w:val="0"/>
        <w:autoSpaceDN w:val="0"/>
        <w:adjustRightInd w:val="0"/>
        <w:ind w:left="426" w:hanging="426"/>
        <w:rPr>
          <w:rFonts w:cs="Arial"/>
        </w:rPr>
      </w:pPr>
      <w:r w:rsidRPr="00C02718">
        <w:rPr>
          <w:rFonts w:cs="Arial"/>
        </w:rPr>
        <w:lastRenderedPageBreak/>
        <w:t xml:space="preserve">This Council has the power to make arrangements for the discharge of its functions by another local authority under section 101 of the Local Government Act 1972. </w:t>
      </w:r>
      <w:r w:rsidR="00C02718" w:rsidRPr="00C02718">
        <w:rPr>
          <w:rFonts w:cs="Arial"/>
        </w:rPr>
        <w:t xml:space="preserve">This means that the </w:t>
      </w:r>
      <w:r w:rsidR="00C02718" w:rsidRPr="00C02718">
        <w:rPr>
          <w:rFonts w:cs="Arial"/>
          <w:color w:val="231F20"/>
          <w:lang w:eastAsia="en-GB"/>
        </w:rPr>
        <w:t xml:space="preserve">responsibility for the function will be passed to the Oxfordshire County Council. Schemes of delegation are matters for local agreement and can be varied or changed or cancelled by any of the parties involved. This is very different from a contractual arrangement when responsibility for the function remains with the awarding public body. </w:t>
      </w:r>
      <w:r w:rsidRPr="00C02718">
        <w:rPr>
          <w:rFonts w:cs="Arial"/>
        </w:rPr>
        <w:t>This report is seeking approval for this Council’s functions in connection with the processing and determination of the expected planning application for the Scheme to be discharged by Oxfordshire County Council.</w:t>
      </w:r>
    </w:p>
    <w:p w:rsidR="005A1713" w:rsidRDefault="005A1713" w:rsidP="00D41072"/>
    <w:p w:rsidR="005A1713" w:rsidRDefault="005A1713" w:rsidP="00D41072"/>
    <w:p w:rsidR="00BD0A26" w:rsidRDefault="00F62206">
      <w:pPr>
        <w:rPr>
          <w:b/>
        </w:rPr>
      </w:pPr>
      <w:r w:rsidRPr="00F62206">
        <w:rPr>
          <w:b/>
        </w:rPr>
        <w:t>Legal issues</w:t>
      </w:r>
    </w:p>
    <w:p w:rsidR="005119C9" w:rsidRDefault="005119C9">
      <w:pPr>
        <w:rPr>
          <w:b/>
        </w:rPr>
      </w:pPr>
    </w:p>
    <w:p w:rsidR="005119C9" w:rsidRPr="005119C9" w:rsidRDefault="005119C9" w:rsidP="0050761D">
      <w:pPr>
        <w:pStyle w:val="ListParagraph"/>
        <w:numPr>
          <w:ilvl w:val="0"/>
          <w:numId w:val="9"/>
        </w:numPr>
        <w:ind w:left="426" w:hanging="426"/>
      </w:pPr>
      <w:r w:rsidRPr="005119C9">
        <w:t xml:space="preserve">The details </w:t>
      </w:r>
      <w:r>
        <w:t xml:space="preserve">as to the </w:t>
      </w:r>
      <w:r w:rsidR="007A1E3E">
        <w:t>operational arrangements</w:t>
      </w:r>
      <w:r>
        <w:t xml:space="preserve"> of the proposed delegation to the Oxfordshire County Council of the powers to process and determine the planning applications in connection with the Scheme will be negotiated and agreed with Oxfordshire County Council officers by the Head of Planning and Regulatory Services in consultation with the Head of Law and Governance.</w:t>
      </w:r>
    </w:p>
    <w:p w:rsidR="00F62206" w:rsidRDefault="00F62206"/>
    <w:p w:rsidR="00F62206" w:rsidRDefault="00F62206"/>
    <w:p w:rsidR="00F62206" w:rsidRDefault="00F62206">
      <w:pPr>
        <w:rPr>
          <w:b/>
        </w:rPr>
      </w:pPr>
      <w:r w:rsidRPr="00F62206">
        <w:rPr>
          <w:b/>
        </w:rPr>
        <w:t>Financial Issues</w:t>
      </w:r>
    </w:p>
    <w:p w:rsidR="0050761D" w:rsidRDefault="0050761D">
      <w:pPr>
        <w:rPr>
          <w:b/>
        </w:rPr>
      </w:pPr>
    </w:p>
    <w:p w:rsidR="0050761D" w:rsidRPr="0050761D" w:rsidRDefault="007A1E3E" w:rsidP="0050761D">
      <w:pPr>
        <w:pStyle w:val="ListParagraph"/>
        <w:numPr>
          <w:ilvl w:val="0"/>
          <w:numId w:val="9"/>
        </w:numPr>
        <w:ind w:left="426" w:hanging="426"/>
      </w:pPr>
      <w:r>
        <w:t>None</w:t>
      </w:r>
    </w:p>
    <w:p w:rsidR="00BD0A26" w:rsidRDefault="00BD0A26"/>
    <w:p w:rsidR="00BD0A26" w:rsidRPr="0050761D" w:rsidRDefault="00BD0A26" w:rsidP="0050761D">
      <w:pPr>
        <w:pStyle w:val="ListParagraph"/>
        <w:rPr>
          <w:b/>
          <w:bCs/>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587CC8" w:rsidTr="00AE6188">
        <w:tc>
          <w:tcPr>
            <w:tcW w:w="8522" w:type="dxa"/>
          </w:tcPr>
          <w:p w:rsidR="00587CC8" w:rsidRDefault="00587CC8" w:rsidP="00AE6188">
            <w:pPr>
              <w:tabs>
                <w:tab w:val="left" w:pos="720"/>
                <w:tab w:val="left" w:pos="1440"/>
                <w:tab w:val="left" w:pos="2160"/>
                <w:tab w:val="left" w:pos="2880"/>
              </w:tabs>
            </w:pPr>
            <w:r>
              <w:rPr>
                <w:b/>
                <w:bCs/>
              </w:rPr>
              <w:t>Name and contact details of author:-</w:t>
            </w:r>
          </w:p>
        </w:tc>
      </w:tr>
      <w:tr w:rsidR="00587CC8" w:rsidTr="00AE6188">
        <w:tc>
          <w:tcPr>
            <w:tcW w:w="8522" w:type="dxa"/>
          </w:tcPr>
          <w:p w:rsidR="00587CC8" w:rsidRDefault="00E511F5" w:rsidP="00C87ECE">
            <w:pPr>
              <w:tabs>
                <w:tab w:val="left" w:pos="720"/>
                <w:tab w:val="left" w:pos="1440"/>
                <w:tab w:val="left" w:pos="2160"/>
                <w:tab w:val="left" w:pos="2880"/>
              </w:tabs>
            </w:pPr>
            <w:r>
              <w:t>Emma Griffiths</w:t>
            </w:r>
          </w:p>
        </w:tc>
      </w:tr>
      <w:tr w:rsidR="00587CC8" w:rsidTr="00AE6188">
        <w:tc>
          <w:tcPr>
            <w:tcW w:w="8522" w:type="dxa"/>
          </w:tcPr>
          <w:p w:rsidR="00587CC8" w:rsidRDefault="00E511F5" w:rsidP="00E6151D">
            <w:pPr>
              <w:tabs>
                <w:tab w:val="left" w:pos="720"/>
                <w:tab w:val="left" w:pos="1440"/>
                <w:tab w:val="left" w:pos="2160"/>
                <w:tab w:val="left" w:pos="2880"/>
              </w:tabs>
            </w:pPr>
            <w:r>
              <w:t>Lawyer</w:t>
            </w:r>
          </w:p>
        </w:tc>
      </w:tr>
      <w:tr w:rsidR="00587CC8" w:rsidTr="00AE6188">
        <w:tc>
          <w:tcPr>
            <w:tcW w:w="8522" w:type="dxa"/>
          </w:tcPr>
          <w:p w:rsidR="00587CC8" w:rsidRDefault="00E511F5" w:rsidP="00AE6188">
            <w:pPr>
              <w:tabs>
                <w:tab w:val="left" w:pos="720"/>
                <w:tab w:val="left" w:pos="1440"/>
                <w:tab w:val="left" w:pos="2160"/>
                <w:tab w:val="left" w:pos="2880"/>
              </w:tabs>
            </w:pPr>
            <w:r>
              <w:t>St Aldates Chambers, St Aldates,</w:t>
            </w:r>
            <w:r w:rsidR="00587CC8">
              <w:t xml:space="preserve">  Oxford  OX1 1DS</w:t>
            </w:r>
          </w:p>
        </w:tc>
      </w:tr>
      <w:tr w:rsidR="00587CC8" w:rsidTr="00AE6188">
        <w:tc>
          <w:tcPr>
            <w:tcW w:w="8522" w:type="dxa"/>
          </w:tcPr>
          <w:p w:rsidR="00587CC8" w:rsidRDefault="00587CC8" w:rsidP="00AE6188">
            <w:pPr>
              <w:tabs>
                <w:tab w:val="left" w:pos="720"/>
                <w:tab w:val="left" w:pos="1440"/>
                <w:tab w:val="left" w:pos="2160"/>
                <w:tab w:val="left" w:pos="2880"/>
              </w:tabs>
            </w:pPr>
            <w:r>
              <w:t>Tel:  01865 252</w:t>
            </w:r>
            <w:r w:rsidR="00E511F5">
              <w:t>2208</w:t>
            </w:r>
          </w:p>
          <w:p w:rsidR="00587CC8" w:rsidRDefault="00587CC8" w:rsidP="00E511F5">
            <w:pPr>
              <w:tabs>
                <w:tab w:val="left" w:pos="720"/>
                <w:tab w:val="left" w:pos="1440"/>
                <w:tab w:val="left" w:pos="2160"/>
                <w:tab w:val="left" w:pos="2880"/>
              </w:tabs>
              <w:rPr>
                <w:color w:val="0000FF"/>
                <w:u w:val="single"/>
              </w:rPr>
            </w:pPr>
            <w:r>
              <w:t xml:space="preserve">e-mail: </w:t>
            </w:r>
            <w:r w:rsidR="00E511F5">
              <w:t>egriffiths</w:t>
            </w:r>
            <w:r w:rsidR="00E6151D">
              <w:t>@oxford.gov.uk</w:t>
            </w:r>
            <w:r>
              <w:t xml:space="preserve"> </w:t>
            </w:r>
          </w:p>
        </w:tc>
      </w:tr>
    </w:tbl>
    <w:p w:rsidR="000E3607" w:rsidRDefault="000E3607">
      <w:pPr>
        <w:rPr>
          <w:b/>
          <w:bCs/>
        </w:rPr>
      </w:pPr>
    </w:p>
    <w:p w:rsidR="00BD0A26" w:rsidRDefault="00890110">
      <w:pPr>
        <w:rPr>
          <w:b/>
          <w:bCs/>
        </w:rPr>
      </w:pPr>
      <w:r>
        <w:rPr>
          <w:b/>
          <w:bCs/>
        </w:rPr>
        <w:t xml:space="preserve">Background papers: </w:t>
      </w:r>
      <w:r w:rsidR="001B0966">
        <w:rPr>
          <w:b/>
          <w:bCs/>
        </w:rPr>
        <w:t>None</w:t>
      </w:r>
    </w:p>
    <w:sectPr w:rsidR="00BD0A26">
      <w:footerReference w:type="default" r:id="rId10"/>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7A" w:rsidRDefault="00DA247A">
      <w:r>
        <w:separator/>
      </w:r>
    </w:p>
  </w:endnote>
  <w:endnote w:type="continuationSeparator" w:id="0">
    <w:p w:rsidR="00DA247A" w:rsidRDefault="00DA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26" w:rsidRDefault="00BD0A26">
    <w:pPr>
      <w:rPr>
        <w:sz w:val="20"/>
      </w:rPr>
    </w:pPr>
  </w:p>
  <w:p w:rsidR="00BD0A26" w:rsidRDefault="00BD0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7A" w:rsidRDefault="00DA247A">
      <w:r>
        <w:separator/>
      </w:r>
    </w:p>
  </w:footnote>
  <w:footnote w:type="continuationSeparator" w:id="0">
    <w:p w:rsidR="00DA247A" w:rsidRDefault="00DA2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1AE"/>
    <w:multiLevelType w:val="hybridMultilevel"/>
    <w:tmpl w:val="9F4A6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41489"/>
    <w:multiLevelType w:val="hybridMultilevel"/>
    <w:tmpl w:val="0F26A6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0D688F"/>
    <w:multiLevelType w:val="hybridMultilevel"/>
    <w:tmpl w:val="EC98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D1F75"/>
    <w:multiLevelType w:val="hybridMultilevel"/>
    <w:tmpl w:val="BE10F6A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093984"/>
    <w:multiLevelType w:val="hybridMultilevel"/>
    <w:tmpl w:val="8DEAA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5B51ACC"/>
    <w:multiLevelType w:val="hybridMultilevel"/>
    <w:tmpl w:val="5D7A6DE0"/>
    <w:lvl w:ilvl="0" w:tplc="A14681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224B8A"/>
    <w:multiLevelType w:val="hybridMultilevel"/>
    <w:tmpl w:val="6CEA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E834A1"/>
    <w:multiLevelType w:val="hybridMultilevel"/>
    <w:tmpl w:val="67B28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9C2C18"/>
    <w:multiLevelType w:val="hybridMultilevel"/>
    <w:tmpl w:val="A8728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1"/>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06"/>
    <w:rsid w:val="000573F1"/>
    <w:rsid w:val="00091B7F"/>
    <w:rsid w:val="000E2AB4"/>
    <w:rsid w:val="000E3607"/>
    <w:rsid w:val="00147701"/>
    <w:rsid w:val="001A7788"/>
    <w:rsid w:val="001A7CEB"/>
    <w:rsid w:val="001B0966"/>
    <w:rsid w:val="00204C76"/>
    <w:rsid w:val="002C2BBE"/>
    <w:rsid w:val="00360BC1"/>
    <w:rsid w:val="00386EDF"/>
    <w:rsid w:val="00393A35"/>
    <w:rsid w:val="003A520A"/>
    <w:rsid w:val="003C138B"/>
    <w:rsid w:val="003D22C3"/>
    <w:rsid w:val="003E61F7"/>
    <w:rsid w:val="00415B8F"/>
    <w:rsid w:val="00415D6B"/>
    <w:rsid w:val="00491DA1"/>
    <w:rsid w:val="004958EA"/>
    <w:rsid w:val="004B772B"/>
    <w:rsid w:val="004D314B"/>
    <w:rsid w:val="004F2CC3"/>
    <w:rsid w:val="0050761D"/>
    <w:rsid w:val="005119C9"/>
    <w:rsid w:val="00537AB6"/>
    <w:rsid w:val="005542DD"/>
    <w:rsid w:val="005724B7"/>
    <w:rsid w:val="00587CC8"/>
    <w:rsid w:val="005A1713"/>
    <w:rsid w:val="005D5DED"/>
    <w:rsid w:val="00616D8F"/>
    <w:rsid w:val="00661374"/>
    <w:rsid w:val="00665396"/>
    <w:rsid w:val="006A5500"/>
    <w:rsid w:val="006B3088"/>
    <w:rsid w:val="006E43A4"/>
    <w:rsid w:val="0070076A"/>
    <w:rsid w:val="0073476F"/>
    <w:rsid w:val="0076345A"/>
    <w:rsid w:val="00770171"/>
    <w:rsid w:val="0079783C"/>
    <w:rsid w:val="007A1E3E"/>
    <w:rsid w:val="007C0442"/>
    <w:rsid w:val="007E0A1E"/>
    <w:rsid w:val="007E3D39"/>
    <w:rsid w:val="007E7D37"/>
    <w:rsid w:val="008025E9"/>
    <w:rsid w:val="0080350A"/>
    <w:rsid w:val="00812587"/>
    <w:rsid w:val="00812A90"/>
    <w:rsid w:val="00815D95"/>
    <w:rsid w:val="00890110"/>
    <w:rsid w:val="008E7D8B"/>
    <w:rsid w:val="008F22A3"/>
    <w:rsid w:val="009109D8"/>
    <w:rsid w:val="00960643"/>
    <w:rsid w:val="00973A95"/>
    <w:rsid w:val="00975BF3"/>
    <w:rsid w:val="00987AC9"/>
    <w:rsid w:val="00991E8B"/>
    <w:rsid w:val="009D49B9"/>
    <w:rsid w:val="009E1294"/>
    <w:rsid w:val="00A0767E"/>
    <w:rsid w:val="00A170FC"/>
    <w:rsid w:val="00A70628"/>
    <w:rsid w:val="00A70F7A"/>
    <w:rsid w:val="00AA0ED1"/>
    <w:rsid w:val="00AD7DF6"/>
    <w:rsid w:val="00AE6566"/>
    <w:rsid w:val="00AF7E0D"/>
    <w:rsid w:val="00B00EF4"/>
    <w:rsid w:val="00B55ABA"/>
    <w:rsid w:val="00BD0A26"/>
    <w:rsid w:val="00BE1BC3"/>
    <w:rsid w:val="00BF5B4B"/>
    <w:rsid w:val="00C02718"/>
    <w:rsid w:val="00C33D2B"/>
    <w:rsid w:val="00C84266"/>
    <w:rsid w:val="00C87ECE"/>
    <w:rsid w:val="00CB2F57"/>
    <w:rsid w:val="00CD2612"/>
    <w:rsid w:val="00CF74E0"/>
    <w:rsid w:val="00D259B3"/>
    <w:rsid w:val="00D41072"/>
    <w:rsid w:val="00DA247A"/>
    <w:rsid w:val="00DB3FE6"/>
    <w:rsid w:val="00DC7662"/>
    <w:rsid w:val="00E06D62"/>
    <w:rsid w:val="00E511F5"/>
    <w:rsid w:val="00E6151D"/>
    <w:rsid w:val="00E64364"/>
    <w:rsid w:val="00E77C6F"/>
    <w:rsid w:val="00E82AEC"/>
    <w:rsid w:val="00EE040F"/>
    <w:rsid w:val="00EE15D2"/>
    <w:rsid w:val="00EE48C1"/>
    <w:rsid w:val="00EE64F8"/>
    <w:rsid w:val="00EF0E9C"/>
    <w:rsid w:val="00F44231"/>
    <w:rsid w:val="00F46648"/>
    <w:rsid w:val="00F62206"/>
    <w:rsid w:val="00F62540"/>
    <w:rsid w:val="00F63851"/>
    <w:rsid w:val="00F92377"/>
    <w:rsid w:val="00FA2E92"/>
    <w:rsid w:val="00FC14B3"/>
    <w:rsid w:val="00FC3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C7662"/>
    <w:pPr>
      <w:ind w:left="720"/>
      <w:contextualSpacing/>
    </w:pPr>
  </w:style>
  <w:style w:type="paragraph" w:styleId="BodyText">
    <w:name w:val="Body Text"/>
    <w:basedOn w:val="Normal"/>
    <w:link w:val="BodyTextChar"/>
    <w:rsid w:val="00665396"/>
    <w:pPr>
      <w:keepNext/>
    </w:pPr>
    <w:rPr>
      <w:sz w:val="22"/>
    </w:rPr>
  </w:style>
  <w:style w:type="character" w:customStyle="1" w:styleId="BodyTextChar">
    <w:name w:val="Body Text Char"/>
    <w:basedOn w:val="DefaultParagraphFont"/>
    <w:link w:val="BodyText"/>
    <w:rsid w:val="0066539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DC7662"/>
    <w:pPr>
      <w:ind w:left="720"/>
      <w:contextualSpacing/>
    </w:pPr>
  </w:style>
  <w:style w:type="paragraph" w:styleId="BodyText">
    <w:name w:val="Body Text"/>
    <w:basedOn w:val="Normal"/>
    <w:link w:val="BodyTextChar"/>
    <w:rsid w:val="00665396"/>
    <w:pPr>
      <w:keepNext/>
    </w:pPr>
    <w:rPr>
      <w:sz w:val="22"/>
    </w:rPr>
  </w:style>
  <w:style w:type="character" w:customStyle="1" w:styleId="BodyTextChar">
    <w:name w:val="Body Text Char"/>
    <w:basedOn w:val="DefaultParagraphFont"/>
    <w:link w:val="BodyText"/>
    <w:rsid w:val="0066539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3931">
      <w:bodyDiv w:val="1"/>
      <w:marLeft w:val="0"/>
      <w:marRight w:val="0"/>
      <w:marTop w:val="0"/>
      <w:marBottom w:val="0"/>
      <w:divBdr>
        <w:top w:val="none" w:sz="0" w:space="0" w:color="auto"/>
        <w:left w:val="none" w:sz="0" w:space="0" w:color="auto"/>
        <w:bottom w:val="none" w:sz="0" w:space="0" w:color="auto"/>
        <w:right w:val="none" w:sz="0" w:space="0" w:color="auto"/>
      </w:divBdr>
    </w:div>
    <w:div w:id="11867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6DE6-4ADF-4F45-A8D5-37C992BD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DD1E992C</Template>
  <TotalTime>4</TotalTime>
  <Pages>3</Pages>
  <Words>878</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5603</CharactersWithSpaces>
  <SharedDoc>false</SharedDoc>
  <HLinks>
    <vt:vector size="6" baseType="variant">
      <vt:variant>
        <vt:i4>2687043</vt:i4>
      </vt:variant>
      <vt:variant>
        <vt:i4>1511</vt:i4>
      </vt:variant>
      <vt:variant>
        <vt:i4>1025</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4</cp:revision>
  <cp:lastPrinted>2014-11-19T11:13:00Z</cp:lastPrinted>
  <dcterms:created xsi:type="dcterms:W3CDTF">2016-01-26T11:48:00Z</dcterms:created>
  <dcterms:modified xsi:type="dcterms:W3CDTF">2016-01-28T11:34:00Z</dcterms:modified>
</cp:coreProperties>
</file>